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9594" w:themeColor="accent2" w:themeTint="99"/>
  <w:body>
    <w:p w:rsidR="008874D8" w:rsidRPr="0075076E" w:rsidRDefault="001743A6" w:rsidP="00CA399E">
      <w:pPr>
        <w:spacing w:after="0"/>
        <w:ind w:left="-180"/>
        <w:jc w:val="center"/>
        <w:rPr>
          <w:rFonts w:ascii="Arial" w:hAnsi="Arial" w:cs="Arial"/>
          <w:b/>
          <w:i/>
          <w:color w:val="1F497D" w:themeColor="text2"/>
          <w:sz w:val="96"/>
        </w:rPr>
      </w:pPr>
      <w:r w:rsidRPr="00DA1C65">
        <w:rPr>
          <w:rFonts w:ascii="Arial" w:hAnsi="Arial" w:cs="Arial"/>
          <w:b/>
          <w:i/>
          <w:noProof/>
          <w:color w:val="002060"/>
          <w:sz w:val="44"/>
        </w:rPr>
        <mc:AlternateContent>
          <mc:Choice Requires="wps">
            <w:drawing>
              <wp:anchor distT="0" distB="0" distL="114300" distR="114300" simplePos="0" relativeHeight="251659264" behindDoc="1" locked="0" layoutInCell="1" allowOverlap="1" wp14:anchorId="353BA0D0" wp14:editId="4B951717">
                <wp:simplePos x="0" y="0"/>
                <wp:positionH relativeFrom="margin">
                  <wp:posOffset>-496957</wp:posOffset>
                </wp:positionH>
                <wp:positionV relativeFrom="margin">
                  <wp:posOffset>-182881</wp:posOffset>
                </wp:positionV>
                <wp:extent cx="10098157" cy="7779551"/>
                <wp:effectExtent l="0" t="0" r="0" b="0"/>
                <wp:wrapNone/>
                <wp:docPr id="1" name="Rectangle 1"/>
                <wp:cNvGraphicFramePr/>
                <a:graphic xmlns:a="http://schemas.openxmlformats.org/drawingml/2006/main">
                  <a:graphicData uri="http://schemas.microsoft.com/office/word/2010/wordprocessingShape">
                    <wps:wsp>
                      <wps:cNvSpPr/>
                      <wps:spPr>
                        <a:xfrm>
                          <a:off x="0" y="0"/>
                          <a:ext cx="10098157" cy="7779551"/>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15pt;margin-top:-14.4pt;width:795.15pt;height:612.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" fillcolor="#09c" stroked="f" strokeweight="2pt">
                <w10:wrap anchorx="margin" anchory="margin"/>
              </v:rect>
            </w:pict>
          </mc:Fallback>
        </mc:AlternateContent>
      </w:r>
      <w:r w:rsidR="00D944BD" w:rsidRPr="00DA1C65">
        <w:rPr>
          <w:rFonts w:ascii="Arial" w:hAnsi="Arial" w:cs="Arial"/>
          <w:b/>
          <w:i/>
          <w:color w:val="002060"/>
          <w:sz w:val="96"/>
        </w:rPr>
        <w:t>Registration</w:t>
      </w:r>
      <w:r w:rsidR="0059144B" w:rsidRPr="00DA1C65">
        <w:rPr>
          <w:rFonts w:ascii="Arial" w:hAnsi="Arial" w:cs="Arial"/>
          <w:b/>
          <w:i/>
          <w:color w:val="002060"/>
          <w:sz w:val="96"/>
        </w:rPr>
        <w:t xml:space="preserve"> </w:t>
      </w:r>
      <w:r w:rsidR="00D944BD" w:rsidRPr="00DA1C65">
        <w:rPr>
          <w:rFonts w:ascii="Arial" w:hAnsi="Arial" w:cs="Arial"/>
          <w:b/>
          <w:i/>
          <w:color w:val="002060"/>
          <w:sz w:val="96"/>
        </w:rPr>
        <w:t>Open</w:t>
      </w:r>
      <w:r w:rsidR="00986C49" w:rsidRPr="00DA1C65">
        <w:rPr>
          <w:rFonts w:ascii="Arial" w:hAnsi="Arial" w:cs="Arial"/>
          <w:b/>
          <w:i/>
          <w:color w:val="002060"/>
          <w:sz w:val="96"/>
        </w:rPr>
        <w:t>!</w:t>
      </w:r>
    </w:p>
    <w:p w:rsidR="000C76A6" w:rsidRPr="000F34A7" w:rsidRDefault="00660468" w:rsidP="000F34A7">
      <w:pPr>
        <w:spacing w:after="0"/>
        <w:ind w:left="-180"/>
        <w:jc w:val="center"/>
        <w:rPr>
          <w:rFonts w:ascii="Arial" w:eastAsia="Times New Roman" w:hAnsi="Arial" w:cs="Arial"/>
          <w:b/>
          <w:caps/>
          <w:color w:val="8064A2" w:themeColor="accent4"/>
          <w:sz w:val="68"/>
          <w:szCs w:val="68"/>
          <w14:glow w14:rad="101600">
            <w14:schemeClr w14:val="accent6">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60468">
        <w:rPr>
          <w:rFonts w:ascii="Arial" w:eastAsia="Times New Roman" w:hAnsi="Arial" w:cs="Arial"/>
          <w:b/>
          <w:caps/>
          <w:color w:val="404040" w:themeColor="text1" w:themeTint="BF"/>
          <w:sz w:val="56"/>
          <w:szCs w:val="56"/>
          <w14:glow w14:rad="101600">
            <w14:schemeClr w14:val="accent6">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D27A6" w:rsidRPr="0003555E">
        <w:rPr>
          <w:rFonts w:ascii="Arial" w:eastAsia="Times New Roman" w:hAnsi="Arial" w:cs="Aharoni"/>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Motivational Interviewing</w:t>
      </w:r>
      <w:r w:rsidRPr="0003555E">
        <w:rPr>
          <w:rFonts w:ascii="Arial" w:eastAsia="Times New Roman" w:hAnsi="Arial" w:cs="Arial"/>
          <w:b/>
          <w:sz w:val="68"/>
          <w:szCs w:val="6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124BAC" w:rsidRPr="0003555E">
        <w:rPr>
          <w:rFonts w:ascii="Arial" w:eastAsia="Times New Roman" w:hAnsi="Arial" w:cs="Aharoni"/>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Booster</w:t>
      </w:r>
    </w:p>
    <w:p w:rsidR="00763E7C" w:rsidRDefault="00CB7C45" w:rsidP="001743A6">
      <w:pPr>
        <w:jc w:val="right"/>
        <w:rPr>
          <w:rFonts w:ascii="Times New Roman" w:eastAsia="Times New Roman" w:hAnsi="Times New Roman" w:cs="Times New Roman"/>
          <w:b/>
          <w:i/>
          <w:color w:val="FFFFFF" w:themeColor="background1"/>
          <w:sz w:val="52"/>
          <w:szCs w:val="19"/>
        </w:rPr>
      </w:pPr>
      <w:r w:rsidRPr="007C7ADC">
        <w:rPr>
          <w:rFonts w:ascii="Times New Roman" w:eastAsia="Times New Roman" w:hAnsi="Times New Roman" w:cs="Times New Roman"/>
          <w:b/>
          <w:i/>
          <w:noProof/>
          <w:color w:val="FFFFFF" w:themeColor="background1"/>
          <w:sz w:val="72"/>
          <w:szCs w:val="72"/>
        </w:rPr>
        <mc:AlternateContent>
          <mc:Choice Requires="wps">
            <w:drawing>
              <wp:anchor distT="0" distB="0" distL="114300" distR="114300" simplePos="0" relativeHeight="251660288" behindDoc="0" locked="0" layoutInCell="1" allowOverlap="1" wp14:anchorId="286D99B5" wp14:editId="0FAE81EF">
                <wp:simplePos x="0" y="0"/>
                <wp:positionH relativeFrom="margin">
                  <wp:posOffset>-457200</wp:posOffset>
                </wp:positionH>
                <wp:positionV relativeFrom="paragraph">
                  <wp:posOffset>-3175</wp:posOffset>
                </wp:positionV>
                <wp:extent cx="10058400" cy="4181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058400" cy="418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A6" w:rsidRPr="00AD27A6" w:rsidRDefault="00AD27A6" w:rsidP="00AD27A6">
                            <w:pPr>
                              <w:spacing w:before="160" w:after="0" w:line="240" w:lineRule="auto"/>
                              <w:ind w:left="450" w:right="780"/>
                              <w:rPr>
                                <w:rFonts w:eastAsia="Times New Roman" w:cs="Times New Roman"/>
                                <w:sz w:val="28"/>
                                <w:szCs w:val="20"/>
                              </w:rPr>
                            </w:pPr>
                            <w:r w:rsidRPr="00AD27A6">
                              <w:rPr>
                                <w:rFonts w:eastAsia="Times New Roman" w:cs="Times New Roman"/>
                                <w:sz w:val="28"/>
                                <w:szCs w:val="20"/>
                              </w:rPr>
                              <w:t>The second component to the MI Training Series is a one-day “Booster Training”, where the goals will be to review the basic skills, assess their “sticking points”, continue learning to identify</w:t>
                            </w:r>
                            <w:r w:rsidR="005939DF">
                              <w:rPr>
                                <w:rFonts w:eastAsia="Times New Roman" w:cs="Times New Roman"/>
                                <w:sz w:val="28"/>
                                <w:szCs w:val="20"/>
                              </w:rPr>
                              <w:t>, elicit, and respond to</w:t>
                            </w:r>
                            <w:r w:rsidRPr="00AD27A6">
                              <w:rPr>
                                <w:rFonts w:eastAsia="Times New Roman" w:cs="Times New Roman"/>
                                <w:sz w:val="28"/>
                                <w:szCs w:val="20"/>
                              </w:rPr>
                              <w:t xml:space="preserve"> “change-talk”</w:t>
                            </w:r>
                            <w:r w:rsidR="005939DF">
                              <w:rPr>
                                <w:rFonts w:eastAsia="Times New Roman" w:cs="Times New Roman"/>
                                <w:sz w:val="28"/>
                                <w:szCs w:val="20"/>
                              </w:rPr>
                              <w:t>. Training methods will include didactic, video, and real-play.</w:t>
                            </w:r>
                            <w:bookmarkStart w:id="0" w:name="_GoBack"/>
                            <w:bookmarkEnd w:id="0"/>
                          </w:p>
                          <w:p w:rsidR="00AD27A6" w:rsidRPr="00AD27A6" w:rsidRDefault="00AD27A6" w:rsidP="00AD27A6">
                            <w:pPr>
                              <w:spacing w:after="0" w:line="240" w:lineRule="auto"/>
                              <w:ind w:left="450" w:right="780"/>
                              <w:rPr>
                                <w:rFonts w:eastAsia="Times New Roman" w:cs="Times New Roman"/>
                                <w:sz w:val="28"/>
                                <w:szCs w:val="20"/>
                              </w:rPr>
                            </w:pPr>
                            <w:r w:rsidRPr="00AD27A6">
                              <w:rPr>
                                <w:rFonts w:eastAsia="Times New Roman" w:cs="Times New Roman"/>
                                <w:sz w:val="28"/>
                                <w:szCs w:val="20"/>
                              </w:rPr>
                              <w:t xml:space="preserve">For 301 System employees there is an expectation that </w:t>
                            </w:r>
                            <w:r w:rsidR="00843F4C">
                              <w:rPr>
                                <w:rFonts w:eastAsia="Times New Roman" w:cs="Times New Roman"/>
                                <w:sz w:val="28"/>
                                <w:szCs w:val="20"/>
                              </w:rPr>
                              <w:t>for p</w:t>
                            </w:r>
                            <w:r w:rsidRPr="00AD27A6">
                              <w:rPr>
                                <w:rFonts w:eastAsia="Times New Roman" w:cs="Times New Roman"/>
                                <w:sz w:val="28"/>
                                <w:szCs w:val="20"/>
                              </w:rPr>
                              <w:t xml:space="preserve">ost Core, Booster, and Advanced trainings, each participant will submit an audio recording of a real or role played session that will be coded by Alan Lyme using the MITI coding system for adherence to MI style and spirit. The purpose is to provide constructive feedback to each clinician with concrete suggestions as to how they may improve their practice. </w:t>
                            </w:r>
                          </w:p>
                          <w:p w:rsidR="00660468" w:rsidRPr="00AD27A6" w:rsidRDefault="00AD27A6" w:rsidP="00AD27A6">
                            <w:pPr>
                              <w:tabs>
                                <w:tab w:val="left" w:pos="990"/>
                              </w:tabs>
                              <w:spacing w:after="0" w:line="240" w:lineRule="auto"/>
                              <w:ind w:left="450" w:right="780"/>
                              <w:jc w:val="both"/>
                              <w:rPr>
                                <w:rStyle w:val="SubtleEmphasis"/>
                                <w:rFonts w:cs="Times New Roman"/>
                                <w:i w:val="0"/>
                                <w:sz w:val="40"/>
                                <w:szCs w:val="28"/>
                              </w:rPr>
                            </w:pPr>
                            <w:r w:rsidRPr="00AD27A6">
                              <w:rPr>
                                <w:rFonts w:eastAsia="Times New Roman" w:cs="Times New Roman"/>
                                <w:sz w:val="28"/>
                                <w:szCs w:val="20"/>
                              </w:rPr>
                              <w:t>Private practitioners and attendees from agencies outside of the 3</w:t>
                            </w:r>
                            <w:r w:rsidR="00843F4C">
                              <w:rPr>
                                <w:rFonts w:eastAsia="Times New Roman" w:cs="Times New Roman"/>
                                <w:sz w:val="28"/>
                                <w:szCs w:val="20"/>
                              </w:rPr>
                              <w:t>01</w:t>
                            </w:r>
                            <w:r w:rsidRPr="00AD27A6">
                              <w:rPr>
                                <w:rFonts w:eastAsia="Times New Roman" w:cs="Times New Roman"/>
                                <w:sz w:val="28"/>
                                <w:szCs w:val="20"/>
                              </w:rPr>
                              <w:t xml:space="preserve"> system are also encouraged to participate in recording. Please see trainer for details.</w:t>
                            </w:r>
                          </w:p>
                          <w:p w:rsidR="0075076E" w:rsidRPr="000F34A7" w:rsidRDefault="0075076E" w:rsidP="00122D60">
                            <w:pPr>
                              <w:spacing w:before="360" w:after="0"/>
                              <w:ind w:left="360"/>
                              <w:rPr>
                                <w:rFonts w:cs="Times New Roman"/>
                                <w:b/>
                                <w:i/>
                                <w:color w:val="1F497D" w:themeColor="text2"/>
                                <w:sz w:val="36"/>
                                <w:szCs w:val="36"/>
                              </w:rPr>
                            </w:pPr>
                            <w:r w:rsidRPr="000F34A7">
                              <w:rPr>
                                <w:rFonts w:cs="Times New Roman"/>
                                <w:b/>
                                <w:color w:val="1F497D" w:themeColor="text2"/>
                                <w:sz w:val="36"/>
                                <w:szCs w:val="36"/>
                              </w:rPr>
                              <w:t>Training Facilitated by:</w:t>
                            </w:r>
                            <w:r w:rsidRPr="000F34A7">
                              <w:rPr>
                                <w:rFonts w:cs="Times New Roman"/>
                                <w:b/>
                                <w:i/>
                                <w:color w:val="1F497D" w:themeColor="text2"/>
                                <w:sz w:val="36"/>
                                <w:szCs w:val="36"/>
                              </w:rPr>
                              <w:t xml:space="preserve"> </w:t>
                            </w:r>
                            <w:r w:rsidR="00AD27A6" w:rsidRPr="00AD27A6">
                              <w:rPr>
                                <w:rFonts w:cs="Times New Roman"/>
                                <w:b/>
                                <w:color w:val="1F497D" w:themeColor="text2"/>
                                <w:sz w:val="36"/>
                                <w:szCs w:val="36"/>
                              </w:rPr>
                              <w:t>Alan Lyme, LISW, ICADC, ICCS, MAC</w:t>
                            </w:r>
                          </w:p>
                          <w:p w:rsidR="007C7ADC" w:rsidRPr="00DA1C65" w:rsidRDefault="00AD27A6" w:rsidP="000F34A7">
                            <w:pPr>
                              <w:spacing w:after="0" w:line="240" w:lineRule="auto"/>
                              <w:ind w:left="360" w:right="780"/>
                              <w:jc w:val="both"/>
                              <w:rPr>
                                <w:rFonts w:asciiTheme="majorHAnsi" w:hAnsiTheme="majorHAnsi"/>
                                <w:i/>
                                <w:sz w:val="28"/>
                                <w:szCs w:val="28"/>
                              </w:rPr>
                            </w:pPr>
                            <w:r w:rsidRPr="00DA1C65">
                              <w:rPr>
                                <w:rStyle w:val="SubtleEmphasis"/>
                                <w:rFonts w:cs="Times New Roman"/>
                                <w:i w:val="0"/>
                                <w:sz w:val="28"/>
                                <w:szCs w:val="28"/>
                              </w:rPr>
                              <w:t xml:space="preserve">Alan Lyme </w:t>
                            </w:r>
                            <w:r w:rsidRPr="00DA1C65">
                              <w:rPr>
                                <w:rFonts w:eastAsia="Times New Roman" w:cs="Times New Roman"/>
                                <w:sz w:val="28"/>
                                <w:szCs w:val="28"/>
                              </w:rPr>
                              <w:t xml:space="preserve">brings respected and innovative clinical and program management skills as the Training Director for the Phoenix Center’s Lottie Beal Gibson Center of Excellence in Greenville, South Carolina. Alan has provided trainings nationally on Motivational Interviewing, Clinical Supervision, and Skills on Working with Men. He received a Bachelor’s Degree in Social Work from Florida Atlantic University in 1998 and a Master’s Degree in Social Work from Barry University in 1999. Alan is a MINT </w:t>
                            </w:r>
                            <w:r w:rsidR="00843F4C">
                              <w:rPr>
                                <w:rFonts w:eastAsia="Times New Roman" w:cs="Times New Roman"/>
                                <w:sz w:val="28"/>
                                <w:szCs w:val="28"/>
                              </w:rPr>
                              <w:t xml:space="preserve">(Motivational Interviewing Network of Trainers) </w:t>
                            </w:r>
                            <w:r w:rsidRPr="00DA1C65">
                              <w:rPr>
                                <w:rFonts w:eastAsia="Times New Roman" w:cs="Times New Roman"/>
                                <w:sz w:val="28"/>
                                <w:szCs w:val="28"/>
                              </w:rPr>
                              <w:t>recognized Motivational Interviewing trainer, an Internationally Certified Clinical Supervisor, and an Internationally Certified Alcohol and Drug Counselor</w:t>
                            </w:r>
                            <w:r w:rsidR="008B6B94">
                              <w:rPr>
                                <w:rFonts w:eastAsia="Times New Roman" w:cs="Times New Roman"/>
                                <w:sz w:val="28"/>
                                <w:szCs w:val="28"/>
                              </w:rPr>
                              <w:t>.</w:t>
                            </w:r>
                          </w:p>
                          <w:p w:rsidR="00660468" w:rsidRPr="000F34A7" w:rsidRDefault="00660468" w:rsidP="000F34A7">
                            <w:pPr>
                              <w:jc w:val="both"/>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5pt;width:11in;height:3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" fillcolor="white [3201]" stroked="f" strokeweight=".5pt">
                <v:textbox>
                  <w:txbxContent>
                    <w:p w:rsidR="00AD27A6" w:rsidRPr="00AD27A6" w:rsidRDefault="00AD27A6" w:rsidP="00AD27A6">
                      <w:pPr>
                        <w:spacing w:before="160" w:after="0" w:line="240" w:lineRule="auto"/>
                        <w:ind w:left="450" w:right="780"/>
                        <w:rPr>
                          <w:rFonts w:eastAsia="Times New Roman" w:cs="Times New Roman"/>
                          <w:sz w:val="28"/>
                          <w:szCs w:val="20"/>
                        </w:rPr>
                      </w:pPr>
                      <w:r w:rsidRPr="00AD27A6">
                        <w:rPr>
                          <w:rFonts w:eastAsia="Times New Roman" w:cs="Times New Roman"/>
                          <w:sz w:val="28"/>
                          <w:szCs w:val="20"/>
                        </w:rPr>
                        <w:t>The second component to the MI Training Series is a one-day “Booster Training”, where the goals will be to review the basic skills, assess their “sticking points”, continue learning to identify</w:t>
                      </w:r>
                      <w:r w:rsidR="005939DF">
                        <w:rPr>
                          <w:rFonts w:eastAsia="Times New Roman" w:cs="Times New Roman"/>
                          <w:sz w:val="28"/>
                          <w:szCs w:val="20"/>
                        </w:rPr>
                        <w:t>, elicit, and respond to</w:t>
                      </w:r>
                      <w:r w:rsidRPr="00AD27A6">
                        <w:rPr>
                          <w:rFonts w:eastAsia="Times New Roman" w:cs="Times New Roman"/>
                          <w:sz w:val="28"/>
                          <w:szCs w:val="20"/>
                        </w:rPr>
                        <w:t xml:space="preserve"> “change-talk”</w:t>
                      </w:r>
                      <w:r w:rsidR="005939DF">
                        <w:rPr>
                          <w:rFonts w:eastAsia="Times New Roman" w:cs="Times New Roman"/>
                          <w:sz w:val="28"/>
                          <w:szCs w:val="20"/>
                        </w:rPr>
                        <w:t>. Training methods will include didactic, video, and real-play.</w:t>
                      </w:r>
                      <w:bookmarkStart w:id="1" w:name="_GoBack"/>
                      <w:bookmarkEnd w:id="1"/>
                    </w:p>
                    <w:p w:rsidR="00AD27A6" w:rsidRPr="00AD27A6" w:rsidRDefault="00AD27A6" w:rsidP="00AD27A6">
                      <w:pPr>
                        <w:spacing w:after="0" w:line="240" w:lineRule="auto"/>
                        <w:ind w:left="450" w:right="780"/>
                        <w:rPr>
                          <w:rFonts w:eastAsia="Times New Roman" w:cs="Times New Roman"/>
                          <w:sz w:val="28"/>
                          <w:szCs w:val="20"/>
                        </w:rPr>
                      </w:pPr>
                      <w:r w:rsidRPr="00AD27A6">
                        <w:rPr>
                          <w:rFonts w:eastAsia="Times New Roman" w:cs="Times New Roman"/>
                          <w:sz w:val="28"/>
                          <w:szCs w:val="20"/>
                        </w:rPr>
                        <w:t xml:space="preserve">For 301 System employees there is an expectation that </w:t>
                      </w:r>
                      <w:r w:rsidR="00843F4C">
                        <w:rPr>
                          <w:rFonts w:eastAsia="Times New Roman" w:cs="Times New Roman"/>
                          <w:sz w:val="28"/>
                          <w:szCs w:val="20"/>
                        </w:rPr>
                        <w:t>for p</w:t>
                      </w:r>
                      <w:r w:rsidRPr="00AD27A6">
                        <w:rPr>
                          <w:rFonts w:eastAsia="Times New Roman" w:cs="Times New Roman"/>
                          <w:sz w:val="28"/>
                          <w:szCs w:val="20"/>
                        </w:rPr>
                        <w:t xml:space="preserve">ost Core, Booster, and Advanced trainings, each participant will submit an audio recording of a real or role played session that will be coded by Alan Lyme using the MITI coding system for adherence to MI style and spirit. The purpose is to provide constructive feedback to each clinician with concrete suggestions as to how they may improve their practice. </w:t>
                      </w:r>
                    </w:p>
                    <w:p w:rsidR="00660468" w:rsidRPr="00AD27A6" w:rsidRDefault="00AD27A6" w:rsidP="00AD27A6">
                      <w:pPr>
                        <w:tabs>
                          <w:tab w:val="left" w:pos="990"/>
                        </w:tabs>
                        <w:spacing w:after="0" w:line="240" w:lineRule="auto"/>
                        <w:ind w:left="450" w:right="780"/>
                        <w:jc w:val="both"/>
                        <w:rPr>
                          <w:rStyle w:val="SubtleEmphasis"/>
                          <w:rFonts w:cs="Times New Roman"/>
                          <w:i w:val="0"/>
                          <w:sz w:val="40"/>
                          <w:szCs w:val="28"/>
                        </w:rPr>
                      </w:pPr>
                      <w:r w:rsidRPr="00AD27A6">
                        <w:rPr>
                          <w:rFonts w:eastAsia="Times New Roman" w:cs="Times New Roman"/>
                          <w:sz w:val="28"/>
                          <w:szCs w:val="20"/>
                        </w:rPr>
                        <w:t>Private practitioners and attendees from agencies outside of the 3</w:t>
                      </w:r>
                      <w:r w:rsidR="00843F4C">
                        <w:rPr>
                          <w:rFonts w:eastAsia="Times New Roman" w:cs="Times New Roman"/>
                          <w:sz w:val="28"/>
                          <w:szCs w:val="20"/>
                        </w:rPr>
                        <w:t>01</w:t>
                      </w:r>
                      <w:r w:rsidRPr="00AD27A6">
                        <w:rPr>
                          <w:rFonts w:eastAsia="Times New Roman" w:cs="Times New Roman"/>
                          <w:sz w:val="28"/>
                          <w:szCs w:val="20"/>
                        </w:rPr>
                        <w:t xml:space="preserve"> system are also encouraged to participate in recording. Please see trainer for details.</w:t>
                      </w:r>
                    </w:p>
                    <w:p w:rsidR="0075076E" w:rsidRPr="000F34A7" w:rsidRDefault="0075076E" w:rsidP="00122D60">
                      <w:pPr>
                        <w:spacing w:before="360" w:after="0"/>
                        <w:ind w:left="360"/>
                        <w:rPr>
                          <w:rFonts w:cs="Times New Roman"/>
                          <w:b/>
                          <w:i/>
                          <w:color w:val="1F497D" w:themeColor="text2"/>
                          <w:sz w:val="36"/>
                          <w:szCs w:val="36"/>
                        </w:rPr>
                      </w:pPr>
                      <w:r w:rsidRPr="000F34A7">
                        <w:rPr>
                          <w:rFonts w:cs="Times New Roman"/>
                          <w:b/>
                          <w:color w:val="1F497D" w:themeColor="text2"/>
                          <w:sz w:val="36"/>
                          <w:szCs w:val="36"/>
                        </w:rPr>
                        <w:t>Training Facilitated by:</w:t>
                      </w:r>
                      <w:r w:rsidRPr="000F34A7">
                        <w:rPr>
                          <w:rFonts w:cs="Times New Roman"/>
                          <w:b/>
                          <w:i/>
                          <w:color w:val="1F497D" w:themeColor="text2"/>
                          <w:sz w:val="36"/>
                          <w:szCs w:val="36"/>
                        </w:rPr>
                        <w:t xml:space="preserve"> </w:t>
                      </w:r>
                      <w:r w:rsidR="00AD27A6" w:rsidRPr="00AD27A6">
                        <w:rPr>
                          <w:rFonts w:cs="Times New Roman"/>
                          <w:b/>
                          <w:color w:val="1F497D" w:themeColor="text2"/>
                          <w:sz w:val="36"/>
                          <w:szCs w:val="36"/>
                        </w:rPr>
                        <w:t>Alan Lyme, LISW, ICADC, ICCS, MAC</w:t>
                      </w:r>
                    </w:p>
                    <w:p w:rsidR="007C7ADC" w:rsidRPr="00DA1C65" w:rsidRDefault="00AD27A6" w:rsidP="000F34A7">
                      <w:pPr>
                        <w:spacing w:after="0" w:line="240" w:lineRule="auto"/>
                        <w:ind w:left="360" w:right="780"/>
                        <w:jc w:val="both"/>
                        <w:rPr>
                          <w:rFonts w:asciiTheme="majorHAnsi" w:hAnsiTheme="majorHAnsi"/>
                          <w:i/>
                          <w:sz w:val="28"/>
                          <w:szCs w:val="28"/>
                        </w:rPr>
                      </w:pPr>
                      <w:r w:rsidRPr="00DA1C65">
                        <w:rPr>
                          <w:rStyle w:val="SubtleEmphasis"/>
                          <w:rFonts w:cs="Times New Roman"/>
                          <w:i w:val="0"/>
                          <w:sz w:val="28"/>
                          <w:szCs w:val="28"/>
                        </w:rPr>
                        <w:t xml:space="preserve">Alan Lyme </w:t>
                      </w:r>
                      <w:r w:rsidRPr="00DA1C65">
                        <w:rPr>
                          <w:rFonts w:eastAsia="Times New Roman" w:cs="Times New Roman"/>
                          <w:sz w:val="28"/>
                          <w:szCs w:val="28"/>
                        </w:rPr>
                        <w:t xml:space="preserve">brings respected and innovative clinical and program management skills as the Training Director for the Phoenix Center’s Lottie Beal Gibson Center of Excellence in Greenville, South Carolina. Alan has provided trainings nationally on Motivational Interviewing, Clinical Supervision, and Skills on Working with Men. He received a Bachelor’s Degree in Social Work from Florida Atlantic University in 1998 and a Master’s Degree in Social Work from Barry University in 1999. Alan is a MINT </w:t>
                      </w:r>
                      <w:r w:rsidR="00843F4C">
                        <w:rPr>
                          <w:rFonts w:eastAsia="Times New Roman" w:cs="Times New Roman"/>
                          <w:sz w:val="28"/>
                          <w:szCs w:val="28"/>
                        </w:rPr>
                        <w:t xml:space="preserve">(Motivational Interviewing Network of Trainers) </w:t>
                      </w:r>
                      <w:r w:rsidRPr="00DA1C65">
                        <w:rPr>
                          <w:rFonts w:eastAsia="Times New Roman" w:cs="Times New Roman"/>
                          <w:sz w:val="28"/>
                          <w:szCs w:val="28"/>
                        </w:rPr>
                        <w:t>recognized Motivational Interviewing trainer, an Internationally Certified Clinical Supervisor, and an Internationally Certified Alcohol and Drug Counselor</w:t>
                      </w:r>
                      <w:r w:rsidR="008B6B94">
                        <w:rPr>
                          <w:rFonts w:eastAsia="Times New Roman" w:cs="Times New Roman"/>
                          <w:sz w:val="28"/>
                          <w:szCs w:val="28"/>
                        </w:rPr>
                        <w:t>.</w:t>
                      </w:r>
                    </w:p>
                    <w:p w:rsidR="00660468" w:rsidRPr="000F34A7" w:rsidRDefault="00660468" w:rsidP="000F34A7">
                      <w:pPr>
                        <w:jc w:val="both"/>
                        <w:rPr>
                          <w:sz w:val="26"/>
                          <w:szCs w:val="26"/>
                        </w:rPr>
                      </w:pPr>
                    </w:p>
                  </w:txbxContent>
                </v:textbox>
                <w10:wrap anchorx="margin"/>
              </v:shape>
            </w:pict>
          </mc:Fallback>
        </mc:AlternateContent>
      </w:r>
    </w:p>
    <w:p w:rsidR="00763E7C" w:rsidRDefault="00763E7C" w:rsidP="001743A6">
      <w:pPr>
        <w:jc w:val="right"/>
        <w:rPr>
          <w:rFonts w:ascii="Times New Roman" w:eastAsia="Times New Roman" w:hAnsi="Times New Roman" w:cs="Times New Roman"/>
          <w:b/>
          <w:i/>
          <w:color w:val="FFFFFF" w:themeColor="background1"/>
          <w:sz w:val="52"/>
          <w:szCs w:val="19"/>
        </w:rPr>
      </w:pPr>
    </w:p>
    <w:p w:rsidR="00763E7C" w:rsidRPr="00FC76F3" w:rsidRDefault="00763E7C" w:rsidP="001743A6">
      <w:pPr>
        <w:jc w:val="right"/>
        <w:rPr>
          <w:rFonts w:ascii="Times New Roman" w:eastAsia="Times New Roman" w:hAnsi="Times New Roman" w:cs="Times New Roman"/>
          <w:b/>
          <w:i/>
          <w:color w:val="FFFFFF" w:themeColor="background1"/>
          <w:sz w:val="56"/>
          <w:szCs w:val="19"/>
        </w:rPr>
      </w:pPr>
    </w:p>
    <w:p w:rsidR="00763E7C" w:rsidRPr="000150D3" w:rsidRDefault="00763E7C" w:rsidP="001743A6">
      <w:pPr>
        <w:jc w:val="right"/>
        <w:rPr>
          <w:rFonts w:ascii="Times New Roman" w:eastAsia="Times New Roman" w:hAnsi="Times New Roman" w:cs="Times New Roman"/>
          <w:b/>
          <w:i/>
          <w:color w:val="FFFFFF" w:themeColor="background1"/>
          <w:sz w:val="72"/>
          <w:szCs w:val="19"/>
        </w:rPr>
      </w:pPr>
    </w:p>
    <w:p w:rsidR="00763E7C" w:rsidRPr="0059144B" w:rsidRDefault="00763E7C" w:rsidP="001743A6">
      <w:pPr>
        <w:jc w:val="right"/>
        <w:rPr>
          <w:rFonts w:ascii="Times New Roman" w:eastAsia="Times New Roman" w:hAnsi="Times New Roman" w:cs="Times New Roman"/>
          <w:b/>
          <w:i/>
          <w:color w:val="FFFFFF" w:themeColor="background1"/>
          <w:sz w:val="72"/>
          <w:szCs w:val="19"/>
        </w:rPr>
      </w:pPr>
    </w:p>
    <w:p w:rsidR="007C7ADC" w:rsidRPr="0075076E" w:rsidRDefault="007C7ADC" w:rsidP="00763E7C">
      <w:pPr>
        <w:spacing w:after="0"/>
        <w:jc w:val="right"/>
        <w:rPr>
          <w:rFonts w:ascii="Arial" w:eastAsia="Times New Roman" w:hAnsi="Arial" w:cs="Arial"/>
          <w:b/>
          <w:i/>
          <w:color w:val="1F497D" w:themeColor="text2"/>
          <w:sz w:val="44"/>
          <w:szCs w:val="19"/>
        </w:rPr>
      </w:pPr>
    </w:p>
    <w:p w:rsidR="00763E7C" w:rsidRPr="00DA1C65" w:rsidRDefault="000F34A7" w:rsidP="00AD27A6">
      <w:pPr>
        <w:tabs>
          <w:tab w:val="left" w:pos="7920"/>
        </w:tabs>
        <w:spacing w:before="1080" w:after="0" w:line="240" w:lineRule="auto"/>
        <w:ind w:firstLine="7920"/>
        <w:jc w:val="center"/>
        <w:rPr>
          <w:rFonts w:ascii="Arial" w:eastAsia="Times New Roman" w:hAnsi="Arial" w:cs="Arial"/>
          <w:b/>
          <w:i/>
          <w:color w:val="002060"/>
          <w:sz w:val="56"/>
          <w:szCs w:val="19"/>
        </w:rPr>
      </w:pPr>
      <w:r w:rsidRPr="00DA1C65">
        <w:rPr>
          <w:rFonts w:ascii="Arial" w:eastAsia="Times New Roman" w:hAnsi="Arial" w:cs="Arial"/>
          <w:b/>
          <w:i/>
          <w:noProof/>
          <w:color w:val="002060"/>
          <w:sz w:val="56"/>
          <w:szCs w:val="19"/>
        </w:rPr>
        <w:drawing>
          <wp:anchor distT="0" distB="0" distL="114300" distR="114300" simplePos="0" relativeHeight="251664384" behindDoc="0" locked="0" layoutInCell="1" allowOverlap="1" wp14:anchorId="145A6D48" wp14:editId="6C1F1581">
            <wp:simplePos x="0" y="0"/>
            <wp:positionH relativeFrom="column">
              <wp:posOffset>4433570</wp:posOffset>
            </wp:positionH>
            <wp:positionV relativeFrom="paragraph">
              <wp:posOffset>1047750</wp:posOffset>
            </wp:positionV>
            <wp:extent cx="759460" cy="759460"/>
            <wp:effectExtent l="114300" t="133350" r="269240" b="288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Center - Bird only larg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460" cy="7594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A399E" w:rsidRPr="00DA1C65">
        <w:rPr>
          <w:rFonts w:ascii="Arial" w:eastAsia="Times New Roman" w:hAnsi="Arial" w:cs="Arial"/>
          <w:b/>
          <w:i/>
          <w:noProof/>
          <w:color w:val="002060"/>
          <w:sz w:val="56"/>
          <w:szCs w:val="19"/>
        </w:rPr>
        <mc:AlternateContent>
          <mc:Choice Requires="wps">
            <w:drawing>
              <wp:anchor distT="0" distB="0" distL="114300" distR="114300" simplePos="0" relativeHeight="251663360" behindDoc="0" locked="0" layoutInCell="1" allowOverlap="1" wp14:anchorId="4BED914A" wp14:editId="73EBA549">
                <wp:simplePos x="0" y="0"/>
                <wp:positionH relativeFrom="column">
                  <wp:posOffset>-457200</wp:posOffset>
                </wp:positionH>
                <wp:positionV relativeFrom="paragraph">
                  <wp:posOffset>621030</wp:posOffset>
                </wp:positionV>
                <wp:extent cx="5266690" cy="2007235"/>
                <wp:effectExtent l="0" t="0" r="10160" b="12065"/>
                <wp:wrapNone/>
                <wp:docPr id="7" name="Text Box 7"/>
                <wp:cNvGraphicFramePr/>
                <a:graphic xmlns:a="http://schemas.openxmlformats.org/drawingml/2006/main">
                  <a:graphicData uri="http://schemas.microsoft.com/office/word/2010/wordprocessingShape">
                    <wps:wsp>
                      <wps:cNvSpPr txBox="1"/>
                      <wps:spPr>
                        <a:xfrm>
                          <a:off x="0" y="0"/>
                          <a:ext cx="5266690" cy="2007235"/>
                        </a:xfrm>
                        <a:prstGeom prst="rect">
                          <a:avLst/>
                        </a:prstGeom>
                        <a:solidFill>
                          <a:srgbClr val="0099CC"/>
                        </a:solidFill>
                        <a:ln w="6350">
                          <a:solidFill>
                            <a:schemeClr val="accent5">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9144B" w:rsidRPr="00DF4D11" w:rsidRDefault="00DF4D11" w:rsidP="00DF4D11">
                            <w:pPr>
                              <w:spacing w:before="120" w:after="0"/>
                              <w:ind w:left="360"/>
                              <w:rPr>
                                <w:rFonts w:ascii="Arial" w:hAnsi="Arial" w:cs="Arial"/>
                                <w:b/>
                                <w:i/>
                                <w:color w:val="FFFFFF" w:themeColor="background1"/>
                                <w:sz w:val="36"/>
                                <w:szCs w:val="32"/>
                              </w:rPr>
                            </w:pPr>
                            <w:r>
                              <w:rPr>
                                <w:rFonts w:ascii="Arial" w:hAnsi="Arial" w:cs="Arial"/>
                                <w:b/>
                                <w:i/>
                                <w:color w:val="FFFFFF" w:themeColor="background1"/>
                                <w:sz w:val="36"/>
                                <w:szCs w:val="32"/>
                              </w:rPr>
                              <w:t>Spaces are filling up fast! Register today</w:t>
                            </w:r>
                            <w:r w:rsidR="00D944BD" w:rsidRPr="00DF4D11">
                              <w:rPr>
                                <w:rFonts w:ascii="Arial" w:hAnsi="Arial" w:cs="Arial"/>
                                <w:b/>
                                <w:i/>
                                <w:color w:val="FFFFFF" w:themeColor="background1"/>
                                <w:sz w:val="36"/>
                                <w:szCs w:val="32"/>
                              </w:rPr>
                              <w:t>!</w:t>
                            </w:r>
                          </w:p>
                          <w:p w:rsidR="0059144B" w:rsidRPr="00AD27A6" w:rsidRDefault="0059144B" w:rsidP="00D944BD">
                            <w:pPr>
                              <w:spacing w:after="0"/>
                              <w:ind w:left="360"/>
                              <w:rPr>
                                <w:color w:val="0070C0"/>
                                <w:sz w:val="16"/>
                              </w:rPr>
                            </w:pPr>
                          </w:p>
                          <w:p w:rsidR="0059144B" w:rsidRPr="00441C7B" w:rsidRDefault="0059144B" w:rsidP="00DF4D11">
                            <w:pPr>
                              <w:spacing w:before="120" w:after="0"/>
                              <w:ind w:left="360"/>
                              <w:rPr>
                                <w:b/>
                                <w:color w:val="FFFFFF" w:themeColor="background1"/>
                                <w:sz w:val="28"/>
                              </w:rPr>
                            </w:pPr>
                            <w:r w:rsidRPr="00441C7B">
                              <w:rPr>
                                <w:b/>
                                <w:color w:val="FFFFFF" w:themeColor="background1"/>
                                <w:sz w:val="28"/>
                              </w:rPr>
                              <w:t>To register online, please visit:</w:t>
                            </w:r>
                          </w:p>
                          <w:p w:rsidR="0059144B" w:rsidRDefault="005939DF" w:rsidP="007F5455">
                            <w:pPr>
                              <w:spacing w:after="0"/>
                              <w:ind w:firstLine="360"/>
                              <w:rPr>
                                <w:rStyle w:val="Hyperlink"/>
                                <w:color w:val="FFFFFF" w:themeColor="background1"/>
                                <w:sz w:val="28"/>
                              </w:rPr>
                            </w:pPr>
                            <w:hyperlink r:id="rId7" w:history="1">
                              <w:r w:rsidR="007F5455" w:rsidRPr="006974FB">
                                <w:rPr>
                                  <w:rStyle w:val="Hyperlink"/>
                                  <w:color w:val="FFFFFF" w:themeColor="background1"/>
                                  <w:sz w:val="28"/>
                                </w:rPr>
                                <w:t>http://www.gibsontrainingcenter.org/clinical-training.php</w:t>
                              </w:r>
                            </w:hyperlink>
                          </w:p>
                          <w:p w:rsidR="007F5455" w:rsidRPr="00441C7B" w:rsidRDefault="007F5455" w:rsidP="007F5455">
                            <w:pPr>
                              <w:spacing w:after="0"/>
                              <w:ind w:firstLine="360"/>
                              <w:rPr>
                                <w:sz w:val="12"/>
                              </w:rPr>
                            </w:pPr>
                          </w:p>
                          <w:p w:rsidR="0059144B" w:rsidRPr="00441C7B" w:rsidRDefault="0059144B" w:rsidP="00D944BD">
                            <w:pPr>
                              <w:spacing w:after="0"/>
                              <w:ind w:left="360"/>
                              <w:rPr>
                                <w:b/>
                                <w:color w:val="FFFFFF" w:themeColor="background1"/>
                                <w:sz w:val="28"/>
                              </w:rPr>
                            </w:pPr>
                            <w:r w:rsidRPr="00441C7B">
                              <w:rPr>
                                <w:b/>
                                <w:color w:val="FFFFFF" w:themeColor="background1"/>
                                <w:sz w:val="28"/>
                              </w:rPr>
                              <w:t>For more information, please contact:</w:t>
                            </w:r>
                          </w:p>
                          <w:p w:rsidR="0059144B" w:rsidRPr="00441C7B" w:rsidRDefault="00AD27A6" w:rsidP="00D944BD">
                            <w:pPr>
                              <w:spacing w:after="0"/>
                              <w:ind w:left="360"/>
                              <w:rPr>
                                <w:color w:val="FFFFFF" w:themeColor="background1"/>
                                <w:sz w:val="28"/>
                              </w:rPr>
                            </w:pPr>
                            <w:r w:rsidRPr="00441C7B">
                              <w:rPr>
                                <w:color w:val="FFFFFF" w:themeColor="background1"/>
                                <w:sz w:val="28"/>
                              </w:rPr>
                              <w:t>Stephanie Bentley</w:t>
                            </w:r>
                            <w:r w:rsidR="0059144B" w:rsidRPr="00441C7B">
                              <w:rPr>
                                <w:color w:val="FFFFFF" w:themeColor="background1"/>
                                <w:sz w:val="28"/>
                              </w:rPr>
                              <w:t xml:space="preserve"> | </w:t>
                            </w:r>
                            <w:hyperlink r:id="rId8" w:history="1">
                              <w:r w:rsidRPr="00441C7B">
                                <w:rPr>
                                  <w:rStyle w:val="Hyperlink"/>
                                  <w:color w:val="FFFFFF" w:themeColor="background1"/>
                                  <w:sz w:val="28"/>
                                </w:rPr>
                                <w:t>sbentley@phoenixcenter.org</w:t>
                              </w:r>
                            </w:hyperlink>
                            <w:r w:rsidR="0059144B" w:rsidRPr="00441C7B">
                              <w:rPr>
                                <w:color w:val="FFFFFF" w:themeColor="background1"/>
                                <w:sz w:val="28"/>
                              </w:rPr>
                              <w:t xml:space="preserve"> | 864-467-3065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6pt;margin-top:48.9pt;width:414.7pt;height:15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" fillcolor="#09c" strokecolor="#b6dde8 [1304]" strokeweight=".5pt">
                <v:textbox>
                  <w:txbxContent>
                    <w:p w:rsidR="0059144B" w:rsidRPr="00DF4D11" w:rsidRDefault="00DF4D11" w:rsidP="00DF4D11">
                      <w:pPr>
                        <w:spacing w:before="120" w:after="0"/>
                        <w:ind w:left="360"/>
                        <w:rPr>
                          <w:rFonts w:ascii="Arial" w:hAnsi="Arial" w:cs="Arial"/>
                          <w:b/>
                          <w:i/>
                          <w:color w:val="FFFFFF" w:themeColor="background1"/>
                          <w:sz w:val="36"/>
                          <w:szCs w:val="32"/>
                        </w:rPr>
                      </w:pPr>
                      <w:r>
                        <w:rPr>
                          <w:rFonts w:ascii="Arial" w:hAnsi="Arial" w:cs="Arial"/>
                          <w:b/>
                          <w:i/>
                          <w:color w:val="FFFFFF" w:themeColor="background1"/>
                          <w:sz w:val="36"/>
                          <w:szCs w:val="32"/>
                        </w:rPr>
                        <w:t>Spaces are filling up fast! Register today</w:t>
                      </w:r>
                      <w:r w:rsidR="00D944BD" w:rsidRPr="00DF4D11">
                        <w:rPr>
                          <w:rFonts w:ascii="Arial" w:hAnsi="Arial" w:cs="Arial"/>
                          <w:b/>
                          <w:i/>
                          <w:color w:val="FFFFFF" w:themeColor="background1"/>
                          <w:sz w:val="36"/>
                          <w:szCs w:val="32"/>
                        </w:rPr>
                        <w:t>!</w:t>
                      </w:r>
                    </w:p>
                    <w:p w:rsidR="0059144B" w:rsidRPr="00AD27A6" w:rsidRDefault="0059144B" w:rsidP="00D944BD">
                      <w:pPr>
                        <w:spacing w:after="0"/>
                        <w:ind w:left="360"/>
                        <w:rPr>
                          <w:color w:val="0070C0"/>
                          <w:sz w:val="16"/>
                        </w:rPr>
                      </w:pPr>
                    </w:p>
                    <w:p w:rsidR="0059144B" w:rsidRPr="00441C7B" w:rsidRDefault="0059144B" w:rsidP="00DF4D11">
                      <w:pPr>
                        <w:spacing w:before="120" w:after="0"/>
                        <w:ind w:left="360"/>
                        <w:rPr>
                          <w:b/>
                          <w:color w:val="FFFFFF" w:themeColor="background1"/>
                          <w:sz w:val="28"/>
                        </w:rPr>
                      </w:pPr>
                      <w:r w:rsidRPr="00441C7B">
                        <w:rPr>
                          <w:b/>
                          <w:color w:val="FFFFFF" w:themeColor="background1"/>
                          <w:sz w:val="28"/>
                        </w:rPr>
                        <w:t>To register online, please visit:</w:t>
                      </w:r>
                    </w:p>
                    <w:p w:rsidR="0059144B" w:rsidRDefault="0003555E" w:rsidP="007F5455">
                      <w:pPr>
                        <w:spacing w:after="0"/>
                        <w:ind w:firstLine="360"/>
                        <w:rPr>
                          <w:rStyle w:val="Hyperlink"/>
                          <w:color w:val="FFFFFF" w:themeColor="background1"/>
                          <w:sz w:val="28"/>
                        </w:rPr>
                      </w:pPr>
                      <w:hyperlink r:id="rId9" w:history="1">
                        <w:r w:rsidR="007F5455" w:rsidRPr="006974FB">
                          <w:rPr>
                            <w:rStyle w:val="Hyperlink"/>
                            <w:color w:val="FFFFFF" w:themeColor="background1"/>
                            <w:sz w:val="28"/>
                          </w:rPr>
                          <w:t>http://www.gibsontrainingcenter.org/clinical-training.php</w:t>
                        </w:r>
                      </w:hyperlink>
                    </w:p>
                    <w:p w:rsidR="007F5455" w:rsidRPr="00441C7B" w:rsidRDefault="007F5455" w:rsidP="007F5455">
                      <w:pPr>
                        <w:spacing w:after="0"/>
                        <w:ind w:firstLine="360"/>
                        <w:rPr>
                          <w:sz w:val="12"/>
                        </w:rPr>
                      </w:pPr>
                    </w:p>
                    <w:p w:rsidR="0059144B" w:rsidRPr="00441C7B" w:rsidRDefault="0059144B" w:rsidP="00D944BD">
                      <w:pPr>
                        <w:spacing w:after="0"/>
                        <w:ind w:left="360"/>
                        <w:rPr>
                          <w:b/>
                          <w:color w:val="FFFFFF" w:themeColor="background1"/>
                          <w:sz w:val="28"/>
                        </w:rPr>
                      </w:pPr>
                      <w:r w:rsidRPr="00441C7B">
                        <w:rPr>
                          <w:b/>
                          <w:color w:val="FFFFFF" w:themeColor="background1"/>
                          <w:sz w:val="28"/>
                        </w:rPr>
                        <w:t>For more information, please contact:</w:t>
                      </w:r>
                    </w:p>
                    <w:p w:rsidR="0059144B" w:rsidRPr="00441C7B" w:rsidRDefault="00AD27A6" w:rsidP="00D944BD">
                      <w:pPr>
                        <w:spacing w:after="0"/>
                        <w:ind w:left="360"/>
                        <w:rPr>
                          <w:color w:val="FFFFFF" w:themeColor="background1"/>
                          <w:sz w:val="28"/>
                        </w:rPr>
                      </w:pPr>
                      <w:r w:rsidRPr="00441C7B">
                        <w:rPr>
                          <w:color w:val="FFFFFF" w:themeColor="background1"/>
                          <w:sz w:val="28"/>
                        </w:rPr>
                        <w:t>Stephanie Bentley</w:t>
                      </w:r>
                      <w:r w:rsidR="0059144B" w:rsidRPr="00441C7B">
                        <w:rPr>
                          <w:color w:val="FFFFFF" w:themeColor="background1"/>
                          <w:sz w:val="28"/>
                        </w:rPr>
                        <w:t xml:space="preserve"> | </w:t>
                      </w:r>
                      <w:hyperlink r:id="rId10" w:history="1">
                        <w:r w:rsidRPr="00441C7B">
                          <w:rPr>
                            <w:rStyle w:val="Hyperlink"/>
                            <w:color w:val="FFFFFF" w:themeColor="background1"/>
                            <w:sz w:val="28"/>
                          </w:rPr>
                          <w:t>sbentley@phoenixcenter.org</w:t>
                        </w:r>
                      </w:hyperlink>
                      <w:r w:rsidR="0059144B" w:rsidRPr="00441C7B">
                        <w:rPr>
                          <w:color w:val="FFFFFF" w:themeColor="background1"/>
                          <w:sz w:val="28"/>
                        </w:rPr>
                        <w:t xml:space="preserve"> | 864-467-3065</w:t>
                      </w:r>
                    </w:p>
                  </w:txbxContent>
                </v:textbox>
              </v:shape>
            </w:pict>
          </mc:Fallback>
        </mc:AlternateContent>
      </w:r>
      <w:r w:rsidR="000462A6">
        <w:rPr>
          <w:rFonts w:ascii="Arial" w:eastAsia="Times New Roman" w:hAnsi="Arial" w:cs="Arial"/>
          <w:b/>
          <w:i/>
          <w:color w:val="002060"/>
          <w:sz w:val="56"/>
          <w:szCs w:val="19"/>
        </w:rPr>
        <w:t>October 12</w:t>
      </w:r>
      <w:r w:rsidR="0003555E">
        <w:rPr>
          <w:rFonts w:ascii="Arial" w:eastAsia="Times New Roman" w:hAnsi="Arial" w:cs="Arial"/>
          <w:b/>
          <w:i/>
          <w:color w:val="002060"/>
          <w:sz w:val="56"/>
          <w:szCs w:val="19"/>
        </w:rPr>
        <w:t>, 2018</w:t>
      </w:r>
    </w:p>
    <w:p w:rsidR="00763E7C" w:rsidRPr="00DA1C65" w:rsidRDefault="00AD27A6" w:rsidP="00AD27A6">
      <w:pPr>
        <w:spacing w:after="0" w:line="240" w:lineRule="auto"/>
        <w:ind w:left="7200" w:firstLine="720"/>
        <w:jc w:val="center"/>
        <w:rPr>
          <w:rFonts w:ascii="Arial" w:eastAsia="Times New Roman" w:hAnsi="Arial" w:cs="Arial"/>
          <w:b/>
          <w:color w:val="002060"/>
          <w:sz w:val="40"/>
          <w:szCs w:val="19"/>
        </w:rPr>
      </w:pPr>
      <w:r w:rsidRPr="00DA1C65">
        <w:rPr>
          <w:rFonts w:ascii="Arial" w:eastAsia="Times New Roman" w:hAnsi="Arial" w:cs="Arial"/>
          <w:b/>
          <w:color w:val="002060"/>
          <w:sz w:val="40"/>
          <w:szCs w:val="19"/>
        </w:rPr>
        <w:t>8</w:t>
      </w:r>
      <w:r w:rsidR="00763E7C" w:rsidRPr="00DA1C65">
        <w:rPr>
          <w:rFonts w:ascii="Arial" w:eastAsia="Times New Roman" w:hAnsi="Arial" w:cs="Arial"/>
          <w:b/>
          <w:color w:val="002060"/>
          <w:sz w:val="40"/>
          <w:szCs w:val="19"/>
        </w:rPr>
        <w:t>:</w:t>
      </w:r>
      <w:r w:rsidRPr="00DA1C65">
        <w:rPr>
          <w:rFonts w:ascii="Arial" w:eastAsia="Times New Roman" w:hAnsi="Arial" w:cs="Arial"/>
          <w:b/>
          <w:color w:val="002060"/>
          <w:sz w:val="40"/>
          <w:szCs w:val="19"/>
        </w:rPr>
        <w:t>3</w:t>
      </w:r>
      <w:r w:rsidR="00763E7C" w:rsidRPr="00DA1C65">
        <w:rPr>
          <w:rFonts w:ascii="Arial" w:eastAsia="Times New Roman" w:hAnsi="Arial" w:cs="Arial"/>
          <w:b/>
          <w:color w:val="002060"/>
          <w:sz w:val="40"/>
          <w:szCs w:val="19"/>
        </w:rPr>
        <w:t>0a – 4:</w:t>
      </w:r>
      <w:r w:rsidRPr="00DA1C65">
        <w:rPr>
          <w:rFonts w:ascii="Arial" w:eastAsia="Times New Roman" w:hAnsi="Arial" w:cs="Arial"/>
          <w:b/>
          <w:color w:val="002060"/>
          <w:sz w:val="40"/>
          <w:szCs w:val="19"/>
        </w:rPr>
        <w:t>3</w:t>
      </w:r>
      <w:r w:rsidR="00763E7C" w:rsidRPr="00DA1C65">
        <w:rPr>
          <w:rFonts w:ascii="Arial" w:eastAsia="Times New Roman" w:hAnsi="Arial" w:cs="Arial"/>
          <w:b/>
          <w:color w:val="002060"/>
          <w:sz w:val="40"/>
          <w:szCs w:val="19"/>
        </w:rPr>
        <w:t>0p</w:t>
      </w:r>
    </w:p>
    <w:p w:rsidR="0059144B" w:rsidRDefault="0059144B" w:rsidP="00AD27A6">
      <w:pPr>
        <w:spacing w:after="0" w:line="240" w:lineRule="auto"/>
        <w:ind w:left="7200" w:firstLine="720"/>
        <w:jc w:val="center"/>
        <w:rPr>
          <w:rFonts w:ascii="Arial" w:eastAsia="Times New Roman" w:hAnsi="Arial" w:cs="Arial"/>
          <w:b/>
          <w:color w:val="002060"/>
          <w:sz w:val="40"/>
          <w:szCs w:val="19"/>
        </w:rPr>
      </w:pPr>
      <w:r w:rsidRPr="00DA1C65">
        <w:rPr>
          <w:rFonts w:ascii="Arial" w:eastAsia="Times New Roman" w:hAnsi="Arial" w:cs="Arial"/>
          <w:b/>
          <w:color w:val="002060"/>
          <w:sz w:val="40"/>
          <w:szCs w:val="19"/>
        </w:rPr>
        <w:t>Cost $</w:t>
      </w:r>
      <w:r w:rsidR="00AD27A6" w:rsidRPr="00DA1C65">
        <w:rPr>
          <w:rFonts w:ascii="Arial" w:eastAsia="Times New Roman" w:hAnsi="Arial" w:cs="Arial"/>
          <w:b/>
          <w:color w:val="002060"/>
          <w:sz w:val="40"/>
          <w:szCs w:val="19"/>
        </w:rPr>
        <w:t>12</w:t>
      </w:r>
      <w:r w:rsidR="00122D60" w:rsidRPr="00DA1C65">
        <w:rPr>
          <w:rFonts w:ascii="Arial" w:eastAsia="Times New Roman" w:hAnsi="Arial" w:cs="Arial"/>
          <w:b/>
          <w:color w:val="002060"/>
          <w:sz w:val="40"/>
          <w:szCs w:val="19"/>
        </w:rPr>
        <w:t>5</w:t>
      </w:r>
    </w:p>
    <w:p w:rsidR="0003555E" w:rsidRPr="00DA1C65" w:rsidRDefault="0003555E" w:rsidP="00AD27A6">
      <w:pPr>
        <w:spacing w:after="0" w:line="240" w:lineRule="auto"/>
        <w:ind w:left="7200" w:firstLine="720"/>
        <w:jc w:val="center"/>
        <w:rPr>
          <w:rFonts w:ascii="Arial" w:eastAsia="Times New Roman" w:hAnsi="Arial" w:cs="Arial"/>
          <w:b/>
          <w:color w:val="002060"/>
          <w:szCs w:val="19"/>
        </w:rPr>
      </w:pPr>
    </w:p>
    <w:p w:rsidR="00763E7C" w:rsidRPr="000150D3" w:rsidRDefault="00AD27A6" w:rsidP="00DF4D11">
      <w:pPr>
        <w:spacing w:after="0" w:line="240" w:lineRule="auto"/>
        <w:jc w:val="right"/>
        <w:rPr>
          <w:rFonts w:ascii="Arial" w:eastAsia="Times New Roman" w:hAnsi="Arial" w:cs="Arial"/>
          <w:b/>
          <w:color w:val="FFFFFF" w:themeColor="background1"/>
          <w:sz w:val="32"/>
          <w:szCs w:val="19"/>
        </w:rPr>
      </w:pPr>
      <w:r>
        <w:rPr>
          <w:rFonts w:ascii="Arial" w:eastAsia="Times New Roman" w:hAnsi="Arial" w:cs="Arial"/>
          <w:b/>
          <w:color w:val="FFFFFF" w:themeColor="background1"/>
          <w:sz w:val="32"/>
          <w:szCs w:val="19"/>
        </w:rPr>
        <w:t>Lottie Beal Gibson</w:t>
      </w:r>
      <w:r w:rsidR="00D36EC2">
        <w:rPr>
          <w:rFonts w:ascii="Arial" w:eastAsia="Times New Roman" w:hAnsi="Arial" w:cs="Arial"/>
          <w:b/>
          <w:color w:val="FFFFFF" w:themeColor="background1"/>
          <w:sz w:val="32"/>
          <w:szCs w:val="19"/>
        </w:rPr>
        <w:t xml:space="preserve"> Center of</w:t>
      </w:r>
      <w:r w:rsidR="00763E7C" w:rsidRPr="000150D3">
        <w:rPr>
          <w:rFonts w:ascii="Arial" w:eastAsia="Times New Roman" w:hAnsi="Arial" w:cs="Arial"/>
          <w:b/>
          <w:color w:val="FFFFFF" w:themeColor="background1"/>
          <w:sz w:val="32"/>
          <w:szCs w:val="19"/>
        </w:rPr>
        <w:t xml:space="preserve"> Excellence</w:t>
      </w:r>
    </w:p>
    <w:p w:rsidR="00763E7C" w:rsidRPr="000150D3" w:rsidRDefault="00763E7C" w:rsidP="00DF4D11">
      <w:pPr>
        <w:spacing w:after="100" w:afterAutospacing="1" w:line="240" w:lineRule="auto"/>
        <w:jc w:val="right"/>
        <w:rPr>
          <w:rFonts w:ascii="Arial" w:eastAsia="Times New Roman" w:hAnsi="Arial" w:cs="Arial"/>
          <w:b/>
          <w:color w:val="FFFFFF" w:themeColor="background1"/>
          <w:sz w:val="40"/>
          <w:szCs w:val="19"/>
        </w:rPr>
      </w:pPr>
      <w:r w:rsidRPr="000150D3">
        <w:rPr>
          <w:rFonts w:ascii="Arial" w:eastAsia="Times New Roman" w:hAnsi="Arial" w:cs="Arial"/>
          <w:b/>
          <w:color w:val="FFFFFF" w:themeColor="background1"/>
          <w:sz w:val="32"/>
          <w:szCs w:val="19"/>
        </w:rPr>
        <w:t>130 Industrial Drive, Greenville, SC  29607</w:t>
      </w:r>
    </w:p>
    <w:sectPr w:rsidR="00763E7C" w:rsidRPr="000150D3" w:rsidSect="00763E7C">
      <w:pgSz w:w="15840" w:h="12240" w:orient="landscape" w:code="1"/>
      <w:pgMar w:top="288" w:right="720" w:bottom="28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BF3"/>
    <w:multiLevelType w:val="hybridMultilevel"/>
    <w:tmpl w:val="38B6E5F8"/>
    <w:lvl w:ilvl="0" w:tplc="AC641772">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903B4C"/>
    <w:multiLevelType w:val="hybridMultilevel"/>
    <w:tmpl w:val="09E2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E275CA"/>
    <w:multiLevelType w:val="hybridMultilevel"/>
    <w:tmpl w:val="7B723A0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505470F"/>
    <w:multiLevelType w:val="hybridMultilevel"/>
    <w:tmpl w:val="A8C4DA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103143"/>
    <w:multiLevelType w:val="hybridMultilevel"/>
    <w:tmpl w:val="2D8CC53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AB83443"/>
    <w:multiLevelType w:val="hybridMultilevel"/>
    <w:tmpl w:val="44F60CC0"/>
    <w:lvl w:ilvl="0" w:tplc="93E4024A">
      <w:start w:val="1"/>
      <w:numFmt w:val="bullet"/>
      <w:lvlText w:val=""/>
      <w:lvlJc w:val="left"/>
      <w:pPr>
        <w:ind w:left="2250" w:hanging="360"/>
      </w:pPr>
      <w:rPr>
        <w:rFonts w:ascii="Wingdings" w:hAnsi="Wingdings" w:hint="default"/>
        <w:b/>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5A6E73CB"/>
    <w:multiLevelType w:val="hybridMultilevel"/>
    <w:tmpl w:val="0CDA8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42937CC"/>
    <w:multiLevelType w:val="hybridMultilevel"/>
    <w:tmpl w:val="6304F98E"/>
    <w:lvl w:ilvl="0" w:tplc="3DF8D5AA">
      <w:start w:val="1"/>
      <w:numFmt w:val="decimal"/>
      <w:pStyle w:val="NumberList"/>
      <w:lvlText w:val="%1."/>
      <w:lvlJc w:val="left"/>
      <w:pPr>
        <w:ind w:left="720" w:hanging="360"/>
      </w:pPr>
      <w:rPr>
        <w:rFonts w:hint="default"/>
        <w:b w:val="0"/>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7835380"/>
    <w:multiLevelType w:val="hybridMultilevel"/>
    <w:tmpl w:val="E1E6D9BA"/>
    <w:lvl w:ilvl="0" w:tplc="AC6417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5284477"/>
    <w:multiLevelType w:val="hybridMultilevel"/>
    <w:tmpl w:val="F48C2D5E"/>
    <w:lvl w:ilvl="0" w:tplc="D764A384">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FC67E8"/>
    <w:multiLevelType w:val="hybridMultilevel"/>
    <w:tmpl w:val="23A608A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9"/>
  </w:num>
  <w:num w:numId="6">
    <w:abstractNumId w:val="3"/>
  </w:num>
  <w:num w:numId="7">
    <w:abstractNumId w:val="0"/>
  </w:num>
  <w:num w:numId="8">
    <w:abstractNumId w:val="8"/>
  </w:num>
  <w:num w:numId="9">
    <w:abstractNumId w:val="10"/>
  </w:num>
  <w:num w:numId="10">
    <w:abstractNumId w:val="2"/>
  </w:num>
  <w:num w:numId="11">
    <w:abstractNumId w:val="7"/>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A6"/>
    <w:rsid w:val="000150D3"/>
    <w:rsid w:val="0003555E"/>
    <w:rsid w:val="000462A6"/>
    <w:rsid w:val="00064DDD"/>
    <w:rsid w:val="00082F11"/>
    <w:rsid w:val="000A0974"/>
    <w:rsid w:val="000C76A6"/>
    <w:rsid w:val="000F34A7"/>
    <w:rsid w:val="00122D60"/>
    <w:rsid w:val="00124BAC"/>
    <w:rsid w:val="001743A6"/>
    <w:rsid w:val="002A4C18"/>
    <w:rsid w:val="003959E3"/>
    <w:rsid w:val="0042309C"/>
    <w:rsid w:val="00424DE2"/>
    <w:rsid w:val="00441C7B"/>
    <w:rsid w:val="00447CAE"/>
    <w:rsid w:val="004832AC"/>
    <w:rsid w:val="004A2F1D"/>
    <w:rsid w:val="0051217E"/>
    <w:rsid w:val="0059144B"/>
    <w:rsid w:val="005939DF"/>
    <w:rsid w:val="005E0CFB"/>
    <w:rsid w:val="00660468"/>
    <w:rsid w:val="00661E08"/>
    <w:rsid w:val="006E42DE"/>
    <w:rsid w:val="0074232F"/>
    <w:rsid w:val="0075076E"/>
    <w:rsid w:val="00755EC8"/>
    <w:rsid w:val="00763E7C"/>
    <w:rsid w:val="007C7ADC"/>
    <w:rsid w:val="007F5455"/>
    <w:rsid w:val="00841538"/>
    <w:rsid w:val="00843F4C"/>
    <w:rsid w:val="008B6B94"/>
    <w:rsid w:val="008C54B1"/>
    <w:rsid w:val="00912409"/>
    <w:rsid w:val="00932FA8"/>
    <w:rsid w:val="00970505"/>
    <w:rsid w:val="00986C49"/>
    <w:rsid w:val="009F06A6"/>
    <w:rsid w:val="00AD27A6"/>
    <w:rsid w:val="00B04B96"/>
    <w:rsid w:val="00B319E7"/>
    <w:rsid w:val="00BA6F30"/>
    <w:rsid w:val="00C372D9"/>
    <w:rsid w:val="00CA399E"/>
    <w:rsid w:val="00CA3DAB"/>
    <w:rsid w:val="00CB7C45"/>
    <w:rsid w:val="00CC67EE"/>
    <w:rsid w:val="00D36EC2"/>
    <w:rsid w:val="00D47143"/>
    <w:rsid w:val="00D944BD"/>
    <w:rsid w:val="00DA1C65"/>
    <w:rsid w:val="00DA55B3"/>
    <w:rsid w:val="00DA6F6D"/>
    <w:rsid w:val="00DF4D11"/>
    <w:rsid w:val="00E53188"/>
    <w:rsid w:val="00F85CB2"/>
    <w:rsid w:val="00F92524"/>
    <w:rsid w:val="00FC76F3"/>
    <w:rsid w:val="00FD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AD27A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43"/>
    <w:rPr>
      <w:rFonts w:ascii="Tahoma" w:hAnsi="Tahoma" w:cs="Tahoma"/>
      <w:sz w:val="16"/>
      <w:szCs w:val="16"/>
    </w:rPr>
  </w:style>
  <w:style w:type="paragraph" w:styleId="ListParagraph">
    <w:name w:val="List Paragraph"/>
    <w:basedOn w:val="Normal"/>
    <w:uiPriority w:val="34"/>
    <w:qFormat/>
    <w:rsid w:val="00CA3DAB"/>
    <w:pPr>
      <w:ind w:left="720"/>
      <w:contextualSpacing/>
    </w:pPr>
  </w:style>
  <w:style w:type="character" w:styleId="Hyperlink">
    <w:name w:val="Hyperlink"/>
    <w:basedOn w:val="DefaultParagraphFont"/>
    <w:uiPriority w:val="99"/>
    <w:unhideWhenUsed/>
    <w:rsid w:val="0059144B"/>
    <w:rPr>
      <w:color w:val="0000FF" w:themeColor="hyperlink"/>
      <w:u w:val="single"/>
    </w:rPr>
  </w:style>
  <w:style w:type="character" w:styleId="SubtleEmphasis">
    <w:name w:val="Subtle Emphasis"/>
    <w:basedOn w:val="DefaultParagraphFont"/>
    <w:uiPriority w:val="19"/>
    <w:qFormat/>
    <w:rsid w:val="00660468"/>
    <w:rPr>
      <w:i/>
      <w:iCs/>
      <w:color w:val="000000"/>
    </w:rPr>
  </w:style>
  <w:style w:type="character" w:customStyle="1" w:styleId="Heading7Char">
    <w:name w:val="Heading 7 Char"/>
    <w:basedOn w:val="DefaultParagraphFont"/>
    <w:link w:val="Heading7"/>
    <w:uiPriority w:val="9"/>
    <w:semiHidden/>
    <w:rsid w:val="00AD27A6"/>
    <w:rPr>
      <w:rFonts w:asciiTheme="majorHAnsi" w:eastAsiaTheme="majorEastAsia" w:hAnsiTheme="majorHAnsi" w:cstheme="majorBidi"/>
      <w:i/>
      <w:iCs/>
      <w:color w:val="404040" w:themeColor="text1" w:themeTint="BF"/>
    </w:rPr>
  </w:style>
  <w:style w:type="paragraph" w:customStyle="1" w:styleId="NumberList">
    <w:name w:val="Number List"/>
    <w:basedOn w:val="Normal"/>
    <w:qFormat/>
    <w:rsid w:val="00AD27A6"/>
    <w:pPr>
      <w:numPr>
        <w:numId w:val="11"/>
      </w:numPr>
      <w:spacing w:after="0"/>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AD27A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43"/>
    <w:rPr>
      <w:rFonts w:ascii="Tahoma" w:hAnsi="Tahoma" w:cs="Tahoma"/>
      <w:sz w:val="16"/>
      <w:szCs w:val="16"/>
    </w:rPr>
  </w:style>
  <w:style w:type="paragraph" w:styleId="ListParagraph">
    <w:name w:val="List Paragraph"/>
    <w:basedOn w:val="Normal"/>
    <w:uiPriority w:val="34"/>
    <w:qFormat/>
    <w:rsid w:val="00CA3DAB"/>
    <w:pPr>
      <w:ind w:left="720"/>
      <w:contextualSpacing/>
    </w:pPr>
  </w:style>
  <w:style w:type="character" w:styleId="Hyperlink">
    <w:name w:val="Hyperlink"/>
    <w:basedOn w:val="DefaultParagraphFont"/>
    <w:uiPriority w:val="99"/>
    <w:unhideWhenUsed/>
    <w:rsid w:val="0059144B"/>
    <w:rPr>
      <w:color w:val="0000FF" w:themeColor="hyperlink"/>
      <w:u w:val="single"/>
    </w:rPr>
  </w:style>
  <w:style w:type="character" w:styleId="SubtleEmphasis">
    <w:name w:val="Subtle Emphasis"/>
    <w:basedOn w:val="DefaultParagraphFont"/>
    <w:uiPriority w:val="19"/>
    <w:qFormat/>
    <w:rsid w:val="00660468"/>
    <w:rPr>
      <w:i/>
      <w:iCs/>
      <w:color w:val="000000"/>
    </w:rPr>
  </w:style>
  <w:style w:type="character" w:customStyle="1" w:styleId="Heading7Char">
    <w:name w:val="Heading 7 Char"/>
    <w:basedOn w:val="DefaultParagraphFont"/>
    <w:link w:val="Heading7"/>
    <w:uiPriority w:val="9"/>
    <w:semiHidden/>
    <w:rsid w:val="00AD27A6"/>
    <w:rPr>
      <w:rFonts w:asciiTheme="majorHAnsi" w:eastAsiaTheme="majorEastAsia" w:hAnsiTheme="majorHAnsi" w:cstheme="majorBidi"/>
      <w:i/>
      <w:iCs/>
      <w:color w:val="404040" w:themeColor="text1" w:themeTint="BF"/>
    </w:rPr>
  </w:style>
  <w:style w:type="paragraph" w:customStyle="1" w:styleId="NumberList">
    <w:name w:val="Number List"/>
    <w:basedOn w:val="Normal"/>
    <w:qFormat/>
    <w:rsid w:val="00AD27A6"/>
    <w:pPr>
      <w:numPr>
        <w:numId w:val="11"/>
      </w:numPr>
      <w:spacing w:after="0"/>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ntley@phoenixcenter.org" TargetMode="External"/><Relationship Id="rId3" Type="http://schemas.microsoft.com/office/2007/relationships/stylesWithEffects" Target="stylesWithEffects.xml"/><Relationship Id="rId7" Type="http://schemas.openxmlformats.org/officeDocument/2006/relationships/hyperlink" Target="http://www.gibsontrainingcenter.org/clinical-training.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bentley@phoenixcenter.org" TargetMode="External"/><Relationship Id="rId4" Type="http://schemas.openxmlformats.org/officeDocument/2006/relationships/settings" Target="settings.xml"/><Relationship Id="rId9" Type="http://schemas.openxmlformats.org/officeDocument/2006/relationships/hyperlink" Target="http://www.gibsontrainingcenter.org/clinical-train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Deaton, Charity</dc:creator>
  <cp:lastModifiedBy>Lyme, Alan</cp:lastModifiedBy>
  <cp:revision>4</cp:revision>
  <cp:lastPrinted>2016-03-24T17:23:00Z</cp:lastPrinted>
  <dcterms:created xsi:type="dcterms:W3CDTF">2018-09-04T16:30:00Z</dcterms:created>
  <dcterms:modified xsi:type="dcterms:W3CDTF">2018-09-04T16:37:00Z</dcterms:modified>
</cp:coreProperties>
</file>